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Правовое просвещение </w:t>
      </w:r>
    </w:p>
    <w:p w14:paraId="02000000">
      <w:pPr>
        <w:numPr>
          <w:numId w:val="1"/>
        </w:numPr>
        <w:spacing w:after="0" w:before="0"/>
        <w:ind w:firstLine="0" w:left="0" w:right="0"/>
        <w:jc w:val="both"/>
        <w:rPr>
          <w:b w:val="0"/>
        </w:rPr>
      </w:pPr>
      <w:r>
        <w:rPr>
          <w:rFonts w:ascii="Arial" w:hAnsi="Arial"/>
          <w:b w:val="1"/>
          <w:sz w:val="24"/>
        </w:rPr>
        <w:t>С 24 июня получатели средств федерального бюджета в ряде случаев могут открывать счета в ЦБ РФ или иных банках</w:t>
      </w:r>
    </w:p>
    <w:p w14:paraId="03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Так, в соответствии с п. «б» ст. 1 Федерального закона от 24.06.2025 № 158-ФЗ</w:t>
      </w:r>
      <w:r>
        <w:t xml:space="preserve"> «</w:t>
      </w:r>
      <w:r>
        <w:rPr>
          <w:b w:val="0"/>
        </w:rPr>
        <w:t xml:space="preserve">О внесении изменений в Бюджетный кодекс Российской Федерации и отдельные законодательные акты Российской Федерации»  п. 23 ст. 24.1 Бюджетного кодекса Российской Федерации дополнен следующим: </w:t>
      </w:r>
      <w:r>
        <w:rPr>
          <w:b w:val="0"/>
        </w:rPr>
        <w:t>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Федерации, выданным им в порядке и по форме, которые установлены Министерством финансов Российской Федерации, для осуществления расходов в сфере национальной безопасности, национальной обороны, правоохранительной деятельности, а также расходов за счет бюджетных ассигнований, предусмотренных федеральным законом о федеральном бюджете на соответствующий финансовый год и плановый период, составляющих государственную тайну.</w:t>
      </w:r>
    </w:p>
    <w:p w14:paraId="04000000">
      <w:pPr>
        <w:spacing w:after="0" w:before="0"/>
        <w:ind w:firstLine="0" w:left="0" w:right="0"/>
        <w:jc w:val="both"/>
        <w:rPr>
          <w:b w:val="0"/>
        </w:rPr>
      </w:pPr>
    </w:p>
    <w:p w14:paraId="05000000">
      <w:pPr>
        <w:numPr>
          <w:numId w:val="1"/>
        </w:numPr>
        <w:spacing w:after="0" w:before="0"/>
        <w:ind w:firstLine="0" w:left="0" w:right="0"/>
        <w:jc w:val="both"/>
        <w:rPr>
          <w:b w:val="0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С 1 сентября 2025 года изменены правила применения национального режима</w:t>
      </w:r>
    </w:p>
    <w:p w14:paraId="06000000">
      <w:pPr>
        <w:spacing w:after="0" w:before="0"/>
        <w:ind w:firstLine="709" w:left="0" w:right="0"/>
        <w:jc w:val="both"/>
        <w:rPr>
          <w:b w:val="0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Постановлением </w:t>
      </w:r>
      <w:r>
        <w:rPr>
          <w:b w:val="0"/>
          <w:color w:val="000000"/>
          <w:u w:val="none"/>
        </w:rPr>
        <w:t>Постановление Правительства РФ от 29.08.2025 № 1326</w:t>
      </w:r>
      <w:r>
        <w:rPr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«О внесении изменений в постановление Правительства Российской Федерации от 23 декабря 2024 г. № 1875» у</w:t>
      </w:r>
      <w:r>
        <w:rPr>
          <w:b w:val="0"/>
          <w:color w:val="000000"/>
          <w:u w:val="none"/>
        </w:rPr>
        <w:t>тверждены прилагаемые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изменения</w:t>
      </w:r>
      <w:r>
        <w:rPr>
          <w:b w:val="0"/>
          <w:color w:val="000000"/>
          <w:u w:val="none"/>
        </w:rPr>
        <w:t>, которые вносятся в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постановление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07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  <w:color w:val="000000"/>
          <w:u w:val="none"/>
        </w:rPr>
        <w:t>Так, п</w:t>
      </w:r>
      <w:r>
        <w:rPr>
          <w:rFonts w:ascii="Times New Roman" w:hAnsi="Times New Roman"/>
          <w:b w:val="0"/>
          <w:color w:val="000000"/>
          <w:sz w:val="28"/>
          <w:u w:val="none"/>
        </w:rPr>
        <w:t>родлена возможность подтверждать страну происхождения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отдельной продукции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сертификатом СТ-1. Речь идет о закупках, например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стерильных марлевых бинтов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шприцов</w:t>
      </w:r>
      <w:r>
        <w:rPr>
          <w:rFonts w:ascii="Times New Roman" w:hAnsi="Times New Roman"/>
          <w:b w:val="0"/>
          <w:color w:val="000000"/>
          <w:sz w:val="28"/>
          <w:u w:val="none"/>
        </w:rPr>
        <w:t>, если их объявят по 31 декабря 2025 года включительно.</w:t>
      </w:r>
    </w:p>
    <w:p w14:paraId="0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Установлены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случаи</w:t>
      </w:r>
      <w:r>
        <w:rPr>
          <w:rFonts w:ascii="Times New Roman" w:hAnsi="Times New Roman"/>
          <w:b w:val="0"/>
          <w:color w:val="000000"/>
          <w:sz w:val="28"/>
          <w:u w:val="none"/>
        </w:rPr>
        <w:t>, когда временно можно не применять требование о наличии в записи из реестра российской промпродукции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информации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о совокупном количестве баллов. Так, новшество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касается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записей, сформированных в реестре по 10 октября 2023 года включительно для товаров, закупку которых объявят по 31 декабря 2026 года включительно. В числе товаров: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компьютерные томографы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рентгенографические аппараты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Обязали учитывать больше особенностей при описании объекта закупки. Если у заказчика есть разрешение на закупку иностранного товара, то в извещении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нужно декларировать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его получение и указать реквизиты такого разрешения, а также характеристики товара. Последние должны быть идентичными тем, которые приводили в обращении на выдачу разрешения.</w:t>
      </w:r>
    </w:p>
    <w:p w14:paraId="0A000000">
      <w:pPr>
        <w:numPr>
          <w:numId w:val="1"/>
        </w:num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В соответствии с Федеральным законом от 08.08.2024 № 227-ФЗ</w:t>
      </w:r>
      <w:r>
        <w:br/>
      </w:r>
      <w:r>
        <w:rPr>
          <w:b w:val="0"/>
        </w:rPr>
        <w:t xml:space="preserve">«О внесении изменений в Федеральный закон «О несостоятельности (банкротстве)» и статью 6 Федерального закона «О внесении изменений в Федеральный закон «О несостоятельности (банкротстве)» и отдельные законодательные акты Российской Федерации» внесены изменения в </w:t>
      </w:r>
      <w:r>
        <w:rPr>
          <w:b w:val="0"/>
          <w:color w:val="000000"/>
          <w:u w:val="none"/>
        </w:rPr>
        <w:t>Федеральный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закон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 xml:space="preserve">от 26 октября 2002 года № 127-ФЗ «О несостоятельности (банкротстве)». </w:t>
      </w:r>
    </w:p>
    <w:p w14:paraId="0B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  <w:color w:val="000000"/>
          <w:u w:val="none"/>
        </w:rPr>
        <w:t xml:space="preserve">В частности, ст. 223.2 </w:t>
      </w:r>
      <w:r>
        <w:rPr>
          <w:b w:val="0"/>
          <w:color w:val="000000"/>
          <w:u w:val="none"/>
        </w:rPr>
        <w:t>Федеральный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закон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 xml:space="preserve">от 26 октября 2002 года № 127-ФЗ «О несостоятельности (банкротстве)» дополнена  </w:t>
      </w:r>
      <w:r>
        <w:t>пунктом 5.3-1 следующего содержания:</w:t>
      </w:r>
    </w:p>
    <w:p w14:paraId="0C000000">
      <w:pPr>
        <w:ind w:firstLine="709"/>
      </w:pPr>
      <w:r>
        <w:t>Фонд пенсионного и социального страхования Российской Федерации не позднее одного рабочего дня со дня поступления от оператора Единого федерального реестра сведений о банкротстве запроса о том, что в отношении гражданина соблюдается условие, предусмотренное абзацем третьим подпункта 2, абзацем третьим подпункта 3 или подпунктом 4 пункта 1 настоящей статьи, запрашивает с использованием единой системы межведомственного электронного взаимодействия в Федеральной налоговой службе информацию об открытых счетах, вкладах (депозитах) гражданина в кредитных организациях.</w:t>
      </w:r>
    </w:p>
    <w:p w14:paraId="0D000000">
      <w:pPr>
        <w:ind w:firstLine="709"/>
      </w:pPr>
      <w:r>
        <w:t>Федеральная налоговая служба не позднее одного рабочего дня со дня получения указанного в абзаце первом настоящего пункта запроса предоставляет в Фонд пенсионного и социального страхования Российской Федерации с использованием единой системы межведомственного электронного взаимодействия информацию об открытых счетах, вкладах (депозитах) гражданина в кредитных организациях, которую кредитные организации сообщают налоговым органам в соответствии с пунктом 1.1 статьи 86 Налогового кодекса Российской Федерации. Предоставление такой информации не является нарушением налоговой тайны.</w:t>
      </w:r>
    </w:p>
    <w:p w14:paraId="0E000000">
      <w:pPr>
        <w:ind w:firstLine="709"/>
      </w:pPr>
      <w:r>
        <w:t>Фонд пенсионного и социального страхования Российской Федерации не позднее одного рабочего дня со дня предоставления Федеральной налоговой службой информации в соответствии с абзацем вторым настоящего пункта направляет запрос в кредитные организации, указанные в информации, предоставленной Федеральной налоговой службой, о том, что в отношении гражданина соблюдается условие, предусмотренное абзацем третьим подпункта 2, абзацем третьим подпункта 3 или подпунктом 4 пункта 1 настоящей статьи.</w:t>
      </w:r>
    </w:p>
    <w:p w14:paraId="0F000000">
      <w:pPr>
        <w:ind w:firstLine="709"/>
      </w:pPr>
      <w:r>
        <w:t>Кредитные организации предоставляют запрашиваемые в соответствии с абзацем третьим настоящего пункта сведения в Фонд пенсионного и социального страхования Российской Федерации не позднее трех рабочих дней со дня получения запроса.</w:t>
      </w:r>
    </w:p>
    <w:p w14:paraId="10000000">
      <w:pPr>
        <w:ind w:firstLine="709"/>
      </w:pPr>
      <w:r>
        <w:t>Порядок взаимодействия Фонда пенсионного и социального страхования Российской Федерации и кредитных организаций при направлении запроса, предусмотренного абзацем третьим настоящего пункта, утверждается Фондом пенсионного и социального страхования Российской Федерации по согласованию с Банком России.</w:t>
      </w:r>
    </w:p>
    <w:p w14:paraId="11000000">
      <w:pPr>
        <w:ind w:firstLine="709"/>
      </w:pPr>
      <w:r>
        <w:t>Фонд пенсионного и социального страхования Российской Федерации не позднее одного рабочего дня со дня истечения срока предоставления кредитными организациями сведений в соответствии с абзацем четвертым настоящего пункта на основании таких сведений предоставляет оператору Единого федерального реестра сведений о банкротстве с использованием единой системы межведомственного электронного взаимодействия сведения о том, что в отношении гражданина соблюдается условие, предусмотренное абзацем третьим подпункта 2, абзацем третьим подпункта 3 или подпунктом 4 пункта 1 настоящей статьи, или сообщает оператору Единого федерального реестра сведений о банкротстве о неполучении запрошенных сведений в срок, установленный для предоставления кредитными организациями таких сведений.</w:t>
      </w:r>
    </w:p>
    <w:p w14:paraId="12000000">
      <w:pPr>
        <w:spacing w:after="0" w:before="0"/>
        <w:ind w:firstLine="0" w:left="0" w:right="0"/>
        <w:jc w:val="both"/>
        <w:rPr>
          <w:b w:val="0"/>
        </w:rPr>
      </w:pPr>
      <w:r>
        <w:br/>
      </w:r>
      <w:r>
        <w:rPr>
          <w:b w:val="0"/>
        </w:rPr>
        <w:t xml:space="preserve"> </w:t>
      </w:r>
    </w:p>
    <w:p w14:paraId="13000000">
      <w:pPr>
        <w:spacing w:after="0" w:before="0"/>
        <w:ind w:firstLine="0" w:left="0" w:right="0"/>
        <w:jc w:val="both"/>
        <w:rPr>
          <w:b w:val="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1"/>
        <w:ind w:hanging="360" w:left="720"/>
      </w:pPr>
    </w:lvl>
    <w:lvl w:ilvl="1">
      <w:start w:val="1"/>
      <w:numFmt w:val="russianLower"/>
      <w:lvlText w:val="%2)"/>
      <w:pPr>
        <w:widowControl w:val="1"/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ind w:hanging="360" w:left="2160"/>
      </w:pPr>
    </w:lvl>
    <w:lvl w:ilvl="3">
      <w:start w:val="1"/>
      <w:numFmt w:val="decimal"/>
      <w:lvlText w:val="%4)"/>
      <w:pPr>
        <w:widowControl w:val="1"/>
        <w:ind w:hanging="360" w:left="2880"/>
      </w:pPr>
    </w:lvl>
    <w:lvl w:ilvl="4">
      <w:start w:val="1"/>
      <w:numFmt w:val="russianLower"/>
      <w:lvlText w:val="%5)"/>
      <w:pPr>
        <w:widowControl w:val="1"/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russianLow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2025-10-06T06:43:47Z</dcterms:created>
  <dcterms:modified xsi:type="dcterms:W3CDTF">2025-10-06T06:43:47Z</dcterms:modified>
</cp:coreProperties>
</file>